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20CC" w14:textId="3575C02A" w:rsidR="005D0441" w:rsidRDefault="00386FF4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bookmarkStart w:id="0" w:name="_Hlk130374632"/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 </w:t>
      </w:r>
    </w:p>
    <w:bookmarkEnd w:id="0"/>
    <w:p w14:paraId="3D73FE76" w14:textId="77777777"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25F5D23B" w14:textId="77777777"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628EE158" w14:textId="77777777"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1E67EADA" w14:textId="77777777"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13A966AB" w14:textId="77777777"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64D46DCF" w14:textId="77777777"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4485872C" w14:textId="793F62C4" w:rsidR="005D0441" w:rsidRPr="002F1569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435741">
        <w:rPr>
          <w:rFonts w:ascii="Times New Roman" w:hAnsi="Times New Roman" w:cs="Times New Roman"/>
          <w:b/>
          <w:sz w:val="28"/>
          <w:szCs w:val="28"/>
          <w:lang w:val="hr-BA"/>
        </w:rPr>
        <w:t>ŽUPANIJA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>:</w:t>
      </w:r>
      <w:r w:rsidRPr="00435741">
        <w:rPr>
          <w:rFonts w:ascii="Times New Roman" w:hAnsi="Times New Roman" w:cs="Times New Roman"/>
          <w:b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 </w:t>
      </w:r>
      <w:r w:rsidR="00872980">
        <w:rPr>
          <w:rFonts w:ascii="Times New Roman" w:hAnsi="Times New Roman" w:cs="Times New Roman"/>
          <w:b/>
          <w:sz w:val="28"/>
          <w:szCs w:val="28"/>
          <w:lang w:val="hr-BA"/>
        </w:rPr>
        <w:t>ZADARSKA</w:t>
      </w:r>
    </w:p>
    <w:p w14:paraId="519F8F2E" w14:textId="77777777"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7144BCA3" w14:textId="77777777" w:rsidR="005D0441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  <w:r w:rsidRPr="00435741">
        <w:rPr>
          <w:rFonts w:ascii="Times New Roman" w:hAnsi="Times New Roman" w:cs="Times New Roman"/>
          <w:b/>
          <w:sz w:val="28"/>
          <w:szCs w:val="28"/>
          <w:lang w:val="hr-BA"/>
        </w:rPr>
        <w:t xml:space="preserve">PROGRAM RASPOLAGANJA POLJOPRIVREDNIM ZEMLJIŠTEM U VLASNIŠTVU </w:t>
      </w:r>
      <w:r w:rsidRPr="00722DBE">
        <w:rPr>
          <w:rFonts w:ascii="Times New Roman" w:hAnsi="Times New Roman" w:cs="Times New Roman"/>
          <w:b/>
          <w:sz w:val="28"/>
          <w:szCs w:val="28"/>
          <w:lang w:val="hr-BA"/>
        </w:rPr>
        <w:t>REPUBLIKE HRVATSKE</w:t>
      </w:r>
    </w:p>
    <w:p w14:paraId="7505ACC0" w14:textId="77777777" w:rsidR="005D0441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</w:p>
    <w:p w14:paraId="75C1458C" w14:textId="77777777" w:rsidR="005D0441" w:rsidRPr="002F1569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</w:p>
    <w:p w14:paraId="772E78DB" w14:textId="7A7C955F" w:rsidR="005D0441" w:rsidRDefault="005D0441" w:rsidP="00C031B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ZA </w:t>
      </w:r>
      <w:r w:rsidR="00FA6A5F">
        <w:rPr>
          <w:rFonts w:ascii="Times New Roman" w:hAnsi="Times New Roman" w:cs="Times New Roman"/>
          <w:b/>
          <w:sz w:val="28"/>
          <w:szCs w:val="28"/>
          <w:lang w:val="hr-BA"/>
        </w:rPr>
        <w:t>OPĆINU GRAČAC</w:t>
      </w:r>
    </w:p>
    <w:p w14:paraId="4CDF6EB5" w14:textId="77777777"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75922" w14:textId="0E12822D" w:rsidR="005D0441" w:rsidRDefault="00C031B9" w:rsidP="00C03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03EABA74" wp14:editId="2A421FE0">
            <wp:extent cx="1898015" cy="2420620"/>
            <wp:effectExtent l="0" t="0" r="6985" b="0"/>
            <wp:docPr id="2" name="Slika 2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A61E2" w14:textId="77777777" w:rsidR="00C031B9" w:rsidRPr="00C031B9" w:rsidRDefault="00C031B9" w:rsidP="00386FF4">
      <w:pPr>
        <w:rPr>
          <w:rFonts w:ascii="Times New Roman" w:hAnsi="Times New Roman" w:cs="Times New Roman"/>
          <w:b/>
          <w:sz w:val="28"/>
          <w:szCs w:val="28"/>
        </w:rPr>
      </w:pPr>
    </w:p>
    <w:p w14:paraId="432F5C0C" w14:textId="12EB74B1" w:rsidR="005D0441" w:rsidRPr="00872980" w:rsidRDefault="00872980" w:rsidP="0087298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2980">
        <w:rPr>
          <w:rFonts w:ascii="Times New Roman" w:hAnsi="Times New Roman" w:cs="Times New Roman"/>
          <w:bCs/>
          <w:sz w:val="28"/>
          <w:szCs w:val="28"/>
        </w:rPr>
        <w:t xml:space="preserve">Gračac, </w:t>
      </w:r>
      <w:r w:rsidR="00F8789F">
        <w:rPr>
          <w:rFonts w:ascii="Times New Roman" w:hAnsi="Times New Roman" w:cs="Times New Roman"/>
          <w:bCs/>
          <w:sz w:val="28"/>
          <w:szCs w:val="28"/>
        </w:rPr>
        <w:t>ožujak</w:t>
      </w:r>
      <w:r w:rsidRPr="00872980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8789F">
        <w:rPr>
          <w:rFonts w:ascii="Times New Roman" w:hAnsi="Times New Roman" w:cs="Times New Roman"/>
          <w:bCs/>
          <w:sz w:val="28"/>
          <w:szCs w:val="28"/>
        </w:rPr>
        <w:t>3</w:t>
      </w:r>
      <w:r w:rsidRPr="008729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DFBC7C0" w14:textId="77777777" w:rsidR="003F4E8A" w:rsidRDefault="003F4E8A" w:rsidP="005D0441">
      <w:pPr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0AEB0CCF" w14:textId="420AA8D5" w:rsidR="005D0441" w:rsidRPr="00722DBE" w:rsidRDefault="005D0441" w:rsidP="005D0441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722DBE">
        <w:rPr>
          <w:rFonts w:ascii="Times New Roman" w:hAnsi="Times New Roman" w:cs="Times New Roman"/>
          <w:b/>
          <w:sz w:val="24"/>
          <w:szCs w:val="24"/>
          <w:lang w:val="hr-BA"/>
        </w:rPr>
        <w:lastRenderedPageBreak/>
        <w:t>SADRŽAJ PROGRAMA</w:t>
      </w:r>
    </w:p>
    <w:p w14:paraId="76570982" w14:textId="77777777" w:rsidR="005D0441" w:rsidRPr="00722DBE" w:rsidRDefault="005D0441" w:rsidP="005D04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36FCA3" w14:textId="40139E06" w:rsidR="005D0441" w:rsidRPr="003F4E8A" w:rsidRDefault="005D0441" w:rsidP="00637E5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73C4">
        <w:rPr>
          <w:rFonts w:ascii="Times New Roman" w:hAnsi="Times New Roman" w:cs="Times New Roman"/>
          <w:sz w:val="24"/>
          <w:szCs w:val="24"/>
        </w:rPr>
        <w:t xml:space="preserve">Ukupna površina poljoprivrednog zemljišta u vlasništvu države na području </w:t>
      </w:r>
      <w:r w:rsidR="00FA6A5F" w:rsidRPr="008B73C4">
        <w:rPr>
          <w:rFonts w:ascii="Times New Roman" w:hAnsi="Times New Roman" w:cs="Times New Roman"/>
          <w:sz w:val="24"/>
          <w:szCs w:val="24"/>
        </w:rPr>
        <w:t>Općine Gračac</w:t>
      </w:r>
      <w:r w:rsidRPr="008B73C4">
        <w:rPr>
          <w:rFonts w:ascii="Times New Roman" w:hAnsi="Times New Roman" w:cs="Times New Roman"/>
          <w:sz w:val="24"/>
          <w:szCs w:val="24"/>
        </w:rPr>
        <w:t xml:space="preserve"> iznosi</w:t>
      </w:r>
      <w:r w:rsidRPr="003F4E8A">
        <w:rPr>
          <w:rFonts w:ascii="Times New Roman" w:hAnsi="Times New Roman" w:cs="Times New Roman"/>
          <w:sz w:val="24"/>
          <w:szCs w:val="24"/>
        </w:rPr>
        <w:t>:</w:t>
      </w:r>
      <w:r w:rsidR="00FF0650" w:rsidRPr="003F4E8A">
        <w:rPr>
          <w:rFonts w:ascii="Times New Roman" w:hAnsi="Times New Roman" w:cs="Times New Roman"/>
          <w:sz w:val="24"/>
          <w:szCs w:val="24"/>
        </w:rPr>
        <w:t xml:space="preserve"> </w:t>
      </w:r>
      <w:r w:rsidR="008B73C4" w:rsidRPr="003F4E8A">
        <w:rPr>
          <w:rFonts w:ascii="Times New Roman" w:hAnsi="Times New Roman" w:cs="Times New Roman"/>
          <w:b/>
          <w:sz w:val="24"/>
          <w:szCs w:val="24"/>
        </w:rPr>
        <w:t>11.</w:t>
      </w:r>
      <w:r w:rsidR="00E11606" w:rsidRPr="003F4E8A">
        <w:rPr>
          <w:rFonts w:ascii="Times New Roman" w:hAnsi="Times New Roman" w:cs="Times New Roman"/>
          <w:b/>
          <w:sz w:val="24"/>
          <w:szCs w:val="24"/>
        </w:rPr>
        <w:t>000</w:t>
      </w:r>
      <w:r w:rsidR="008B73C4" w:rsidRPr="003F4E8A">
        <w:rPr>
          <w:rFonts w:ascii="Times New Roman" w:hAnsi="Times New Roman" w:cs="Times New Roman"/>
          <w:b/>
          <w:sz w:val="24"/>
          <w:szCs w:val="24"/>
        </w:rPr>
        <w:t>,3</w:t>
      </w:r>
      <w:r w:rsidR="00E11606" w:rsidRPr="003F4E8A">
        <w:rPr>
          <w:rFonts w:ascii="Times New Roman" w:hAnsi="Times New Roman" w:cs="Times New Roman"/>
          <w:b/>
          <w:sz w:val="24"/>
          <w:szCs w:val="24"/>
        </w:rPr>
        <w:t>6</w:t>
      </w:r>
      <w:r w:rsidR="00FF0650" w:rsidRPr="003F4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E8A">
        <w:rPr>
          <w:rFonts w:ascii="Times New Roman" w:hAnsi="Times New Roman" w:cs="Times New Roman"/>
          <w:b/>
          <w:sz w:val="24"/>
          <w:szCs w:val="24"/>
        </w:rPr>
        <w:t>ha</w:t>
      </w:r>
      <w:r w:rsidR="00FF0650" w:rsidRPr="003F4E8A">
        <w:rPr>
          <w:rFonts w:ascii="Times New Roman" w:hAnsi="Times New Roman" w:cs="Times New Roman"/>
          <w:b/>
          <w:sz w:val="24"/>
          <w:szCs w:val="24"/>
        </w:rPr>
        <w:t>.</w:t>
      </w:r>
    </w:p>
    <w:p w14:paraId="12A10C48" w14:textId="05075E0B" w:rsidR="00637E5B" w:rsidRPr="003F4E8A" w:rsidRDefault="008B73C4" w:rsidP="008B73C4">
      <w:pPr>
        <w:pStyle w:val="Odlomakpopisa"/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4E8A">
        <w:rPr>
          <w:rFonts w:ascii="Times New Roman" w:hAnsi="Times New Roman" w:cs="Times New Roman"/>
          <w:sz w:val="24"/>
          <w:szCs w:val="24"/>
        </w:rPr>
        <w:tab/>
      </w:r>
    </w:p>
    <w:p w14:paraId="7D86DAD8" w14:textId="77777777" w:rsidR="005D0441" w:rsidRPr="003F4E8A" w:rsidRDefault="005D0441" w:rsidP="005D0441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F4E8A">
        <w:rPr>
          <w:rFonts w:ascii="Times New Roman" w:hAnsi="Times New Roman"/>
          <w:sz w:val="24"/>
          <w:szCs w:val="24"/>
        </w:rPr>
        <w:t>Podaci o dosadašnjem raspolaganju</w:t>
      </w:r>
    </w:p>
    <w:p w14:paraId="3986844F" w14:textId="0520AD23" w:rsidR="005D0441" w:rsidRPr="003F4E8A" w:rsidRDefault="005D0441" w:rsidP="00FA6A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E8A">
        <w:rPr>
          <w:rFonts w:ascii="Times New Roman" w:hAnsi="Times New Roman" w:cs="Times New Roman"/>
          <w:b/>
          <w:sz w:val="24"/>
          <w:szCs w:val="24"/>
        </w:rPr>
        <w:t xml:space="preserve">T-1 Prikaz </w:t>
      </w:r>
      <w:r w:rsidRPr="003F4E8A">
        <w:rPr>
          <w:rFonts w:ascii="Times New Roman" w:hAnsi="Times New Roman" w:cs="Times New Roman"/>
          <w:b/>
          <w:szCs w:val="24"/>
        </w:rPr>
        <w:t xml:space="preserve">dosadašnjeg </w:t>
      </w:r>
      <w:r w:rsidRPr="003F4E8A">
        <w:rPr>
          <w:rFonts w:ascii="Times New Roman" w:hAnsi="Times New Roman" w:cs="Times New Roman"/>
          <w:b/>
          <w:sz w:val="24"/>
          <w:szCs w:val="24"/>
        </w:rPr>
        <w:t>raspolaganja po svim oblicima - površina u ha</w:t>
      </w:r>
    </w:p>
    <w:p w14:paraId="14F4A439" w14:textId="77777777" w:rsidR="002F1602" w:rsidRPr="003F4E8A" w:rsidRDefault="002F1602" w:rsidP="005D04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3826"/>
        <w:gridCol w:w="1561"/>
        <w:gridCol w:w="1984"/>
      </w:tblGrid>
      <w:tr w:rsidR="003F4E8A" w:rsidRPr="003F4E8A" w14:paraId="1BE435C7" w14:textId="77777777" w:rsidTr="00637E5B">
        <w:trPr>
          <w:jc w:val="center"/>
        </w:trPr>
        <w:tc>
          <w:tcPr>
            <w:tcW w:w="975" w:type="dxa"/>
            <w:vAlign w:val="center"/>
          </w:tcPr>
          <w:p w14:paraId="788E9DA4" w14:textId="77777777" w:rsidR="005D0441" w:rsidRPr="003F4E8A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3F4E8A">
              <w:rPr>
                <w:rFonts w:ascii="Times New Roman" w:hAnsi="Times New Roman"/>
                <w:b/>
              </w:rPr>
              <w:t>R.br.</w:t>
            </w:r>
          </w:p>
        </w:tc>
        <w:tc>
          <w:tcPr>
            <w:tcW w:w="3826" w:type="dxa"/>
            <w:vAlign w:val="center"/>
          </w:tcPr>
          <w:p w14:paraId="12429FB5" w14:textId="77777777" w:rsidR="005D0441" w:rsidRPr="003F4E8A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3F4E8A">
              <w:rPr>
                <w:rFonts w:ascii="Times New Roman" w:hAnsi="Times New Roman"/>
                <w:b/>
              </w:rPr>
              <w:t xml:space="preserve">OBLIK RASPOLAGANJA </w:t>
            </w:r>
          </w:p>
          <w:p w14:paraId="20F59170" w14:textId="77777777" w:rsidR="005D0441" w:rsidRPr="003F4E8A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3F4E8A">
              <w:rPr>
                <w:rFonts w:ascii="Times New Roman" w:hAnsi="Times New Roman"/>
                <w:b/>
              </w:rPr>
              <w:t>( skraćeni naziv iz ugovora)</w:t>
            </w:r>
          </w:p>
        </w:tc>
        <w:tc>
          <w:tcPr>
            <w:tcW w:w="1561" w:type="dxa"/>
            <w:vAlign w:val="center"/>
          </w:tcPr>
          <w:p w14:paraId="07D92F63" w14:textId="77777777" w:rsidR="005D0441" w:rsidRPr="003F4E8A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3F4E8A">
              <w:rPr>
                <w:rFonts w:ascii="Times New Roman" w:hAnsi="Times New Roman"/>
                <w:b/>
              </w:rPr>
              <w:t>Ukupan broj ugovora</w:t>
            </w:r>
          </w:p>
        </w:tc>
        <w:tc>
          <w:tcPr>
            <w:tcW w:w="1984" w:type="dxa"/>
            <w:vAlign w:val="center"/>
          </w:tcPr>
          <w:p w14:paraId="31FB9732" w14:textId="77777777" w:rsidR="005D0441" w:rsidRPr="003F4E8A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3F4E8A">
              <w:rPr>
                <w:rFonts w:ascii="Times New Roman" w:hAnsi="Times New Roman"/>
                <w:b/>
              </w:rPr>
              <w:t>Ukupna površina po ugovorima</w:t>
            </w:r>
          </w:p>
        </w:tc>
      </w:tr>
      <w:tr w:rsidR="003F4E8A" w:rsidRPr="003F4E8A" w14:paraId="27899478" w14:textId="77777777" w:rsidTr="00637E5B">
        <w:trPr>
          <w:jc w:val="center"/>
        </w:trPr>
        <w:tc>
          <w:tcPr>
            <w:tcW w:w="975" w:type="dxa"/>
          </w:tcPr>
          <w:p w14:paraId="1CEFDA41" w14:textId="77777777" w:rsidR="00FF0650" w:rsidRPr="003F4E8A" w:rsidRDefault="00FF0650" w:rsidP="00FF06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3894A39D" w14:textId="77777777" w:rsidR="00FF0650" w:rsidRPr="003F4E8A" w:rsidRDefault="00FF0650" w:rsidP="00FF06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4E8A">
              <w:rPr>
                <w:rFonts w:ascii="Times New Roman" w:hAnsi="Times New Roman"/>
                <w:b/>
                <w:sz w:val="24"/>
                <w:szCs w:val="24"/>
              </w:rPr>
              <w:t>zakup</w:t>
            </w:r>
          </w:p>
        </w:tc>
        <w:tc>
          <w:tcPr>
            <w:tcW w:w="1561" w:type="dxa"/>
          </w:tcPr>
          <w:p w14:paraId="39559A1F" w14:textId="77777777" w:rsidR="00FF0650" w:rsidRPr="003F4E8A" w:rsidRDefault="00FF0650" w:rsidP="00FF0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84" w:type="dxa"/>
          </w:tcPr>
          <w:p w14:paraId="24067A2B" w14:textId="77777777" w:rsidR="00FF0650" w:rsidRPr="003F4E8A" w:rsidRDefault="00FF0650" w:rsidP="00FF0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E8A" w:rsidRPr="003F4E8A" w14:paraId="13AA067A" w14:textId="77777777" w:rsidTr="00637E5B">
        <w:trPr>
          <w:jc w:val="center"/>
        </w:trPr>
        <w:tc>
          <w:tcPr>
            <w:tcW w:w="975" w:type="dxa"/>
          </w:tcPr>
          <w:p w14:paraId="6411990E" w14:textId="77777777" w:rsidR="00FF0650" w:rsidRPr="003F4E8A" w:rsidRDefault="00FF0650" w:rsidP="00FF06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1229A9A5" w14:textId="77777777" w:rsidR="00FF0650" w:rsidRPr="003F4E8A" w:rsidRDefault="00FF0650" w:rsidP="00FF06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4E8A">
              <w:rPr>
                <w:rFonts w:ascii="Times New Roman" w:hAnsi="Times New Roman"/>
                <w:b/>
                <w:sz w:val="24"/>
                <w:szCs w:val="24"/>
              </w:rPr>
              <w:t>dugogodišnji zakup</w:t>
            </w:r>
          </w:p>
        </w:tc>
        <w:tc>
          <w:tcPr>
            <w:tcW w:w="1561" w:type="dxa"/>
          </w:tcPr>
          <w:p w14:paraId="635DE692" w14:textId="77777777" w:rsidR="00FF0650" w:rsidRPr="003F4E8A" w:rsidRDefault="00FF0650" w:rsidP="00FF0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246361C2" w14:textId="77777777" w:rsidR="00FF0650" w:rsidRPr="003F4E8A" w:rsidRDefault="00FF0650" w:rsidP="00FF0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E8A" w:rsidRPr="003F4E8A" w14:paraId="2C8A34FF" w14:textId="77777777" w:rsidTr="00637E5B">
        <w:trPr>
          <w:jc w:val="center"/>
        </w:trPr>
        <w:tc>
          <w:tcPr>
            <w:tcW w:w="975" w:type="dxa"/>
          </w:tcPr>
          <w:p w14:paraId="7CC7363B" w14:textId="77777777" w:rsidR="00FF0650" w:rsidRPr="003F4E8A" w:rsidRDefault="00FF0650" w:rsidP="00FF06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01787351" w14:textId="77777777" w:rsidR="00FF0650" w:rsidRPr="003F4E8A" w:rsidRDefault="00FF0650" w:rsidP="00FF06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4E8A">
              <w:rPr>
                <w:rFonts w:ascii="Times New Roman" w:hAnsi="Times New Roman"/>
                <w:b/>
                <w:sz w:val="24"/>
                <w:szCs w:val="24"/>
              </w:rPr>
              <w:t>koncesija</w:t>
            </w:r>
          </w:p>
        </w:tc>
        <w:tc>
          <w:tcPr>
            <w:tcW w:w="1561" w:type="dxa"/>
          </w:tcPr>
          <w:p w14:paraId="04ECA3E6" w14:textId="77777777" w:rsidR="00FF0650" w:rsidRPr="003F4E8A" w:rsidRDefault="00FF0650" w:rsidP="00FF0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05586E40" w14:textId="77777777" w:rsidR="00FF0650" w:rsidRPr="003F4E8A" w:rsidRDefault="00FF0650" w:rsidP="00FF0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E8A" w:rsidRPr="003F4E8A" w14:paraId="2A78F32D" w14:textId="77777777" w:rsidTr="00637E5B">
        <w:trPr>
          <w:jc w:val="center"/>
        </w:trPr>
        <w:tc>
          <w:tcPr>
            <w:tcW w:w="975" w:type="dxa"/>
          </w:tcPr>
          <w:p w14:paraId="4D1FE77D" w14:textId="77777777" w:rsidR="00FF0650" w:rsidRPr="003F4E8A" w:rsidRDefault="00FF0650" w:rsidP="00FF06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5C008E69" w14:textId="77777777" w:rsidR="00FF0650" w:rsidRPr="003F4E8A" w:rsidRDefault="00FF0650" w:rsidP="00FF06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4E8A">
              <w:rPr>
                <w:rFonts w:ascii="Times New Roman" w:hAnsi="Times New Roman"/>
                <w:b/>
                <w:sz w:val="24"/>
                <w:szCs w:val="24"/>
              </w:rPr>
              <w:t>privremeno korištenje</w:t>
            </w:r>
          </w:p>
        </w:tc>
        <w:tc>
          <w:tcPr>
            <w:tcW w:w="1561" w:type="dxa"/>
          </w:tcPr>
          <w:p w14:paraId="1C64307B" w14:textId="57D5B43E" w:rsidR="00FF0650" w:rsidRPr="003F4E8A" w:rsidRDefault="00DA6A1B" w:rsidP="00FF0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AA4AC75" w14:textId="40B8B725" w:rsidR="00FF0650" w:rsidRPr="003F4E8A" w:rsidRDefault="00386FF4" w:rsidP="00FF0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A57DC" w:rsidRPr="003F4E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F4E8A" w:rsidRPr="003F4E8A" w14:paraId="77AD7E5A" w14:textId="77777777" w:rsidTr="00637E5B">
        <w:trPr>
          <w:jc w:val="center"/>
        </w:trPr>
        <w:tc>
          <w:tcPr>
            <w:tcW w:w="975" w:type="dxa"/>
          </w:tcPr>
          <w:p w14:paraId="7D15C3AF" w14:textId="77777777" w:rsidR="00FF0650" w:rsidRPr="003F4E8A" w:rsidRDefault="00FF0650" w:rsidP="00FF06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47011592" w14:textId="6AE89DBE" w:rsidR="00FF0650" w:rsidRPr="003F4E8A" w:rsidRDefault="00FF0650" w:rsidP="00FF06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4E8A">
              <w:rPr>
                <w:rFonts w:ascii="Times New Roman" w:hAnsi="Times New Roman"/>
                <w:b/>
                <w:sz w:val="24"/>
                <w:szCs w:val="24"/>
              </w:rPr>
              <w:t>prodaja (neotplaćeno)</w:t>
            </w:r>
          </w:p>
        </w:tc>
        <w:tc>
          <w:tcPr>
            <w:tcW w:w="1561" w:type="dxa"/>
          </w:tcPr>
          <w:p w14:paraId="0FA56BC4" w14:textId="77777777" w:rsidR="00FF0650" w:rsidRPr="003F4E8A" w:rsidRDefault="00FF0650" w:rsidP="00FF0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5823FCFE" w14:textId="77777777" w:rsidR="00FF0650" w:rsidRPr="003F4E8A" w:rsidRDefault="00FF0650" w:rsidP="00FF0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E8A" w:rsidRPr="003F4E8A" w14:paraId="4C5C194D" w14:textId="77777777" w:rsidTr="00637E5B">
        <w:trPr>
          <w:jc w:val="center"/>
        </w:trPr>
        <w:tc>
          <w:tcPr>
            <w:tcW w:w="975" w:type="dxa"/>
          </w:tcPr>
          <w:p w14:paraId="55D539FB" w14:textId="77777777" w:rsidR="005D0441" w:rsidRPr="003F4E8A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701E329D" w14:textId="0FF21536" w:rsidR="005D0441" w:rsidRPr="003F4E8A" w:rsidRDefault="00637E5B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4E8A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561" w:type="dxa"/>
          </w:tcPr>
          <w:p w14:paraId="5188A878" w14:textId="3805CF9F" w:rsidR="005D0441" w:rsidRPr="003F4E8A" w:rsidRDefault="00DA6A1B" w:rsidP="00FF06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02B3F21E" w14:textId="01010392" w:rsidR="005D0441" w:rsidRPr="003F4E8A" w:rsidRDefault="00386FF4" w:rsidP="00FF06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6A57DC" w:rsidRPr="003F4E8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F4E8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14:paraId="044385DB" w14:textId="4760E2C6" w:rsidR="005D0441" w:rsidRPr="003F4E8A" w:rsidRDefault="00FA6A5F" w:rsidP="00FA6A5F">
      <w:pPr>
        <w:rPr>
          <w:rFonts w:ascii="Times New Roman" w:hAnsi="Times New Roman"/>
          <w:sz w:val="18"/>
          <w:szCs w:val="18"/>
        </w:rPr>
      </w:pPr>
      <w:r w:rsidRPr="003F4E8A">
        <w:rPr>
          <w:rFonts w:ascii="Times New Roman" w:hAnsi="Times New Roman"/>
          <w:sz w:val="18"/>
          <w:szCs w:val="18"/>
        </w:rPr>
        <w:t xml:space="preserve">           </w:t>
      </w:r>
    </w:p>
    <w:p w14:paraId="297E6976" w14:textId="77777777" w:rsidR="005D0441" w:rsidRPr="003F4E8A" w:rsidRDefault="005D0441" w:rsidP="00637E5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3F4E8A">
        <w:rPr>
          <w:rFonts w:ascii="Times New Roman" w:hAnsi="Times New Roman" w:cs="Times New Roman"/>
          <w:sz w:val="24"/>
          <w:szCs w:val="24"/>
          <w:lang w:val="hr-BA"/>
        </w:rPr>
        <w:t>Sumarni pregled površina poljoprivrednog zemljišta u vlasništvu države prema oblicima raspolaganja</w:t>
      </w:r>
    </w:p>
    <w:p w14:paraId="71A09760" w14:textId="77777777" w:rsidR="005D0441" w:rsidRPr="003F4E8A" w:rsidRDefault="005D0441" w:rsidP="005D0441">
      <w:pPr>
        <w:pStyle w:val="Odlomakpopisa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38DC30F7" w14:textId="084CD82E" w:rsidR="005D0441" w:rsidRPr="003F4E8A" w:rsidRDefault="005D0441" w:rsidP="00FA6A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3F4E8A">
        <w:rPr>
          <w:rFonts w:ascii="Times New Roman" w:hAnsi="Times New Roman" w:cs="Times New Roman"/>
          <w:b/>
          <w:sz w:val="24"/>
          <w:szCs w:val="24"/>
          <w:lang w:val="hr-BA"/>
        </w:rPr>
        <w:t>T-2 Prikaz ukupnih površina po oblicima raspolaganja</w:t>
      </w:r>
    </w:p>
    <w:p w14:paraId="070E1C67" w14:textId="77777777" w:rsidR="002F1602" w:rsidRPr="003F4E8A" w:rsidRDefault="002F1602" w:rsidP="005D0441">
      <w:pPr>
        <w:pStyle w:val="Bezproreda"/>
        <w:rPr>
          <w:rFonts w:ascii="Times New Roman" w:hAnsi="Times New Roman" w:cs="Times New Roman"/>
          <w:b/>
          <w:sz w:val="24"/>
          <w:szCs w:val="24"/>
          <w:lang w:val="hr-BA"/>
        </w:rPr>
      </w:pPr>
    </w:p>
    <w:tbl>
      <w:tblPr>
        <w:tblStyle w:val="Reetkatablice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1418"/>
        <w:gridCol w:w="3700"/>
      </w:tblGrid>
      <w:tr w:rsidR="003F4E8A" w:rsidRPr="003F4E8A" w14:paraId="3F929D93" w14:textId="77777777" w:rsidTr="00637E5B">
        <w:tc>
          <w:tcPr>
            <w:tcW w:w="3118" w:type="dxa"/>
            <w:vAlign w:val="center"/>
          </w:tcPr>
          <w:p w14:paraId="724F4D91" w14:textId="77777777" w:rsidR="005D0441" w:rsidRPr="003F4E8A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F4E8A">
              <w:rPr>
                <w:rFonts w:ascii="Times New Roman" w:hAnsi="Times New Roman" w:cs="Times New Roman"/>
                <w:b/>
                <w:lang w:val="hr-BA"/>
              </w:rPr>
              <w:t>OBLIK RASPOLAGANJA</w:t>
            </w:r>
          </w:p>
        </w:tc>
        <w:tc>
          <w:tcPr>
            <w:tcW w:w="1418" w:type="dxa"/>
            <w:vAlign w:val="center"/>
          </w:tcPr>
          <w:p w14:paraId="675FABB5" w14:textId="77777777" w:rsidR="005D0441" w:rsidRPr="003F4E8A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F4E8A">
              <w:rPr>
                <w:rFonts w:ascii="Times New Roman" w:hAnsi="Times New Roman" w:cs="Times New Roman"/>
                <w:b/>
                <w:lang w:val="hr-BA"/>
              </w:rPr>
              <w:t>Površina</w:t>
            </w:r>
          </w:p>
          <w:p w14:paraId="5C4B3EA8" w14:textId="77777777" w:rsidR="005D0441" w:rsidRPr="003F4E8A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F4E8A">
              <w:rPr>
                <w:rFonts w:ascii="Times New Roman" w:hAnsi="Times New Roman" w:cs="Times New Roman"/>
                <w:b/>
                <w:lang w:val="hr-BA"/>
              </w:rPr>
              <w:t>u ha</w:t>
            </w:r>
          </w:p>
        </w:tc>
        <w:tc>
          <w:tcPr>
            <w:tcW w:w="3700" w:type="dxa"/>
            <w:vAlign w:val="center"/>
          </w:tcPr>
          <w:p w14:paraId="4DAF8F31" w14:textId="77777777" w:rsidR="005D0441" w:rsidRPr="003F4E8A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F4E8A">
              <w:rPr>
                <w:rFonts w:ascii="Times New Roman" w:hAnsi="Times New Roman" w:cs="Times New Roman"/>
                <w:b/>
                <w:lang w:val="hr-BA"/>
              </w:rPr>
              <w:t>NAPOMENA</w:t>
            </w:r>
          </w:p>
          <w:p w14:paraId="631534AC" w14:textId="77777777" w:rsidR="005D0441" w:rsidRPr="003F4E8A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F4E8A">
              <w:rPr>
                <w:rFonts w:ascii="Times New Roman" w:hAnsi="Times New Roman" w:cs="Times New Roman"/>
                <w:b/>
                <w:lang w:val="hr-BA"/>
              </w:rPr>
              <w:t>(minirano, višegodišnji nasadi i sustavi odvodnje i navodnjavanja)</w:t>
            </w:r>
          </w:p>
        </w:tc>
      </w:tr>
      <w:tr w:rsidR="003F4E8A" w:rsidRPr="003F4E8A" w14:paraId="2FD0FEA1" w14:textId="77777777" w:rsidTr="00637E5B">
        <w:tc>
          <w:tcPr>
            <w:tcW w:w="3118" w:type="dxa"/>
          </w:tcPr>
          <w:p w14:paraId="76B3EA3D" w14:textId="77777777" w:rsidR="00FF0650" w:rsidRPr="003F4E8A" w:rsidRDefault="00FF0650" w:rsidP="00FF0650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F4E8A">
              <w:rPr>
                <w:rFonts w:ascii="Times New Roman" w:hAnsi="Times New Roman" w:cs="Times New Roman"/>
              </w:rPr>
              <w:t xml:space="preserve">površine određene za </w:t>
            </w:r>
            <w:r w:rsidRPr="003F4E8A">
              <w:rPr>
                <w:rFonts w:ascii="Times New Roman" w:hAnsi="Times New Roman" w:cs="Times New Roman"/>
                <w:b/>
              </w:rPr>
              <w:t>povrat</w:t>
            </w:r>
          </w:p>
        </w:tc>
        <w:tc>
          <w:tcPr>
            <w:tcW w:w="1418" w:type="dxa"/>
            <w:vAlign w:val="center"/>
          </w:tcPr>
          <w:p w14:paraId="6F2E1E31" w14:textId="3680CC35" w:rsidR="00FF0650" w:rsidRPr="003F4E8A" w:rsidRDefault="00E313E6" w:rsidP="00FF0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F1086B" w:rsidRPr="003F4E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00" w:type="dxa"/>
            <w:vAlign w:val="center"/>
          </w:tcPr>
          <w:p w14:paraId="57493DB4" w14:textId="77777777" w:rsidR="00FF0650" w:rsidRPr="003F4E8A" w:rsidRDefault="00FF0650" w:rsidP="00FF0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E8A" w:rsidRPr="003F4E8A" w14:paraId="18B6EF28" w14:textId="77777777" w:rsidTr="00637E5B">
        <w:tc>
          <w:tcPr>
            <w:tcW w:w="3118" w:type="dxa"/>
          </w:tcPr>
          <w:p w14:paraId="7FC530F7" w14:textId="77777777" w:rsidR="00FF0650" w:rsidRPr="003F4E8A" w:rsidRDefault="00FF0650" w:rsidP="00FF0650">
            <w:pPr>
              <w:jc w:val="center"/>
              <w:rPr>
                <w:rFonts w:ascii="Times New Roman" w:hAnsi="Times New Roman" w:cs="Times New Roman"/>
              </w:rPr>
            </w:pPr>
            <w:r w:rsidRPr="003F4E8A">
              <w:rPr>
                <w:rFonts w:ascii="Times New Roman" w:hAnsi="Times New Roman" w:cs="Times New Roman"/>
              </w:rPr>
              <w:t xml:space="preserve">površine određene za </w:t>
            </w:r>
            <w:r w:rsidRPr="003F4E8A">
              <w:rPr>
                <w:rFonts w:ascii="Times New Roman" w:hAnsi="Times New Roman" w:cs="Times New Roman"/>
                <w:b/>
              </w:rPr>
              <w:t>prodaju</w:t>
            </w:r>
            <w:r w:rsidRPr="003F4E8A">
              <w:rPr>
                <w:rFonts w:ascii="Times New Roman" w:hAnsi="Times New Roman" w:cs="Times New Roman"/>
              </w:rPr>
              <w:t xml:space="preserve">  </w:t>
            </w:r>
          </w:p>
          <w:p w14:paraId="4AF462B3" w14:textId="77777777" w:rsidR="00FF0650" w:rsidRPr="003F4E8A" w:rsidRDefault="00FF0650" w:rsidP="00FF0650">
            <w:pPr>
              <w:jc w:val="center"/>
              <w:rPr>
                <w:rFonts w:ascii="Times New Roman" w:hAnsi="Times New Roman" w:cs="Times New Roman"/>
              </w:rPr>
            </w:pPr>
            <w:r w:rsidRPr="003F4E8A">
              <w:rPr>
                <w:rFonts w:ascii="Times New Roman" w:hAnsi="Times New Roman" w:cs="Times New Roman"/>
              </w:rPr>
              <w:t>- jednokratno, maksimalno</w:t>
            </w:r>
          </w:p>
          <w:p w14:paraId="1C7B4752" w14:textId="77777777" w:rsidR="00FF0650" w:rsidRPr="003F4E8A" w:rsidRDefault="00FF0650" w:rsidP="00FF0650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F4E8A">
              <w:rPr>
                <w:rFonts w:ascii="Times New Roman" w:hAnsi="Times New Roman" w:cs="Times New Roman"/>
              </w:rPr>
              <w:t xml:space="preserve"> do 25%</w:t>
            </w:r>
          </w:p>
        </w:tc>
        <w:tc>
          <w:tcPr>
            <w:tcW w:w="1418" w:type="dxa"/>
            <w:vAlign w:val="center"/>
          </w:tcPr>
          <w:p w14:paraId="406BC38B" w14:textId="77777777" w:rsidR="00FF0650" w:rsidRPr="003F4E8A" w:rsidRDefault="00FF0650" w:rsidP="00FF0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0" w:type="dxa"/>
            <w:vAlign w:val="center"/>
          </w:tcPr>
          <w:p w14:paraId="01399287" w14:textId="77777777" w:rsidR="00FF0650" w:rsidRPr="003F4E8A" w:rsidRDefault="00FF0650" w:rsidP="00FF0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E8A" w:rsidRPr="003F4E8A" w14:paraId="19809B97" w14:textId="77777777" w:rsidTr="00637E5B">
        <w:trPr>
          <w:trHeight w:val="636"/>
        </w:trPr>
        <w:tc>
          <w:tcPr>
            <w:tcW w:w="3118" w:type="dxa"/>
          </w:tcPr>
          <w:p w14:paraId="3D018828" w14:textId="77777777" w:rsidR="00FF0650" w:rsidRPr="003F4E8A" w:rsidRDefault="00FF0650" w:rsidP="00FF0650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F4E8A">
              <w:rPr>
                <w:rFonts w:ascii="Times New Roman" w:hAnsi="Times New Roman" w:cs="Times New Roman"/>
              </w:rPr>
              <w:t xml:space="preserve">površine određene za </w:t>
            </w:r>
            <w:r w:rsidRPr="003F4E8A">
              <w:rPr>
                <w:rFonts w:ascii="Times New Roman" w:hAnsi="Times New Roman" w:cs="Times New Roman"/>
                <w:b/>
              </w:rPr>
              <w:t>zakup</w:t>
            </w:r>
          </w:p>
        </w:tc>
        <w:tc>
          <w:tcPr>
            <w:tcW w:w="1418" w:type="dxa"/>
            <w:vAlign w:val="center"/>
          </w:tcPr>
          <w:p w14:paraId="7ED13577" w14:textId="3946C6AD" w:rsidR="00FF0650" w:rsidRPr="003F4E8A" w:rsidRDefault="00E11606" w:rsidP="00FF0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73C4" w:rsidRPr="003F4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  <w:r w:rsidR="008B73C4" w:rsidRPr="003F4E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0" w:type="dxa"/>
            <w:vAlign w:val="center"/>
          </w:tcPr>
          <w:p w14:paraId="3AFD10F7" w14:textId="77777777" w:rsidR="00FF0650" w:rsidRPr="003F4E8A" w:rsidRDefault="00FF0650" w:rsidP="00FF0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E8A" w:rsidRPr="003F4E8A" w14:paraId="2CB0B835" w14:textId="77777777" w:rsidTr="00637E5B">
        <w:tc>
          <w:tcPr>
            <w:tcW w:w="3118" w:type="dxa"/>
          </w:tcPr>
          <w:p w14:paraId="75DDAABF" w14:textId="77777777" w:rsidR="00FF0650" w:rsidRPr="003F4E8A" w:rsidRDefault="00FF0650" w:rsidP="00FF0650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F4E8A">
              <w:rPr>
                <w:rFonts w:ascii="Times New Roman" w:hAnsi="Times New Roman" w:cs="Times New Roman"/>
              </w:rPr>
              <w:t xml:space="preserve">površine određene za </w:t>
            </w:r>
            <w:r w:rsidRPr="003F4E8A">
              <w:rPr>
                <w:rFonts w:ascii="Times New Roman" w:hAnsi="Times New Roman" w:cs="Times New Roman"/>
                <w:b/>
              </w:rPr>
              <w:t>zakup za ribnjake</w:t>
            </w:r>
          </w:p>
        </w:tc>
        <w:tc>
          <w:tcPr>
            <w:tcW w:w="1418" w:type="dxa"/>
            <w:vAlign w:val="center"/>
          </w:tcPr>
          <w:p w14:paraId="53EC58BF" w14:textId="77777777" w:rsidR="00FF0650" w:rsidRPr="003F4E8A" w:rsidRDefault="00FF0650" w:rsidP="00FF0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0" w:type="dxa"/>
            <w:vAlign w:val="center"/>
          </w:tcPr>
          <w:p w14:paraId="2D157EDD" w14:textId="77777777" w:rsidR="00FF0650" w:rsidRPr="003F4E8A" w:rsidRDefault="00FF0650" w:rsidP="00FF0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E8A" w:rsidRPr="003F4E8A" w14:paraId="017BF0AD" w14:textId="77777777" w:rsidTr="00637E5B">
        <w:tc>
          <w:tcPr>
            <w:tcW w:w="3118" w:type="dxa"/>
          </w:tcPr>
          <w:p w14:paraId="12978D84" w14:textId="77777777" w:rsidR="00FF0650" w:rsidRPr="003F4E8A" w:rsidRDefault="00FF0650" w:rsidP="00FF0650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F4E8A">
              <w:rPr>
                <w:rFonts w:ascii="Times New Roman" w:hAnsi="Times New Roman" w:cs="Times New Roman"/>
              </w:rPr>
              <w:t xml:space="preserve">površine određene za </w:t>
            </w:r>
            <w:r w:rsidRPr="003F4E8A">
              <w:rPr>
                <w:rFonts w:ascii="Times New Roman" w:hAnsi="Times New Roman" w:cs="Times New Roman"/>
                <w:b/>
              </w:rPr>
              <w:t>zakup zajedničkih pašnjaka</w:t>
            </w:r>
          </w:p>
        </w:tc>
        <w:tc>
          <w:tcPr>
            <w:tcW w:w="1418" w:type="dxa"/>
            <w:vAlign w:val="center"/>
          </w:tcPr>
          <w:p w14:paraId="5B1CC6A3" w14:textId="77777777" w:rsidR="00FF0650" w:rsidRPr="003F4E8A" w:rsidRDefault="00FF0650" w:rsidP="00FF0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0" w:type="dxa"/>
            <w:vAlign w:val="center"/>
          </w:tcPr>
          <w:p w14:paraId="79FD3234" w14:textId="77777777" w:rsidR="00FF0650" w:rsidRPr="003F4E8A" w:rsidRDefault="00FF0650" w:rsidP="00FF0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E8A" w:rsidRPr="003F4E8A" w14:paraId="7F6CE46F" w14:textId="77777777" w:rsidTr="00637E5B">
        <w:tc>
          <w:tcPr>
            <w:tcW w:w="3118" w:type="dxa"/>
          </w:tcPr>
          <w:p w14:paraId="0ACCD306" w14:textId="77777777" w:rsidR="00FF0650" w:rsidRPr="003F4E8A" w:rsidRDefault="00FF0650" w:rsidP="00FF06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E8A">
              <w:rPr>
                <w:rFonts w:ascii="Times New Roman" w:hAnsi="Times New Roman" w:cs="Times New Roman"/>
              </w:rPr>
              <w:t xml:space="preserve">površine određene za </w:t>
            </w:r>
            <w:r w:rsidRPr="003F4E8A">
              <w:rPr>
                <w:rFonts w:ascii="Times New Roman" w:hAnsi="Times New Roman" w:cs="Times New Roman"/>
                <w:b/>
              </w:rPr>
              <w:t xml:space="preserve">ostale namjene </w:t>
            </w:r>
          </w:p>
          <w:p w14:paraId="6EC84D2B" w14:textId="77777777" w:rsidR="00FF0650" w:rsidRPr="003F4E8A" w:rsidRDefault="00FF0650" w:rsidP="00FF0650">
            <w:pPr>
              <w:jc w:val="center"/>
              <w:rPr>
                <w:rFonts w:ascii="Times New Roman" w:hAnsi="Times New Roman" w:cs="Times New Roman"/>
              </w:rPr>
            </w:pPr>
            <w:r w:rsidRPr="003F4E8A">
              <w:rPr>
                <w:rFonts w:ascii="Times New Roman" w:hAnsi="Times New Roman" w:cs="Times New Roman"/>
              </w:rPr>
              <w:t xml:space="preserve">- jednokratno, maksimalno </w:t>
            </w:r>
          </w:p>
          <w:p w14:paraId="1545549C" w14:textId="77777777" w:rsidR="00FF0650" w:rsidRPr="003F4E8A" w:rsidRDefault="00FF0650" w:rsidP="00FF0650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F4E8A">
              <w:rPr>
                <w:rFonts w:ascii="Times New Roman" w:hAnsi="Times New Roman" w:cs="Times New Roman"/>
              </w:rPr>
              <w:t>do 5%</w:t>
            </w:r>
          </w:p>
        </w:tc>
        <w:tc>
          <w:tcPr>
            <w:tcW w:w="1418" w:type="dxa"/>
            <w:vAlign w:val="center"/>
          </w:tcPr>
          <w:p w14:paraId="1FCBA8C9" w14:textId="09FEFC5D" w:rsidR="00FF0650" w:rsidRPr="003F4E8A" w:rsidRDefault="004E58DB" w:rsidP="00FF0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0" w:type="dxa"/>
            <w:vAlign w:val="center"/>
          </w:tcPr>
          <w:p w14:paraId="6316DEC4" w14:textId="77777777" w:rsidR="00FF0650" w:rsidRPr="003F4E8A" w:rsidRDefault="00FF0650" w:rsidP="00FF0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F84715C" w14:textId="239C4836" w:rsidR="005D0441" w:rsidRPr="003F4E8A" w:rsidRDefault="00637E5B" w:rsidP="00637E5B">
      <w:pPr>
        <w:tabs>
          <w:tab w:val="left" w:pos="3135"/>
        </w:tabs>
        <w:rPr>
          <w:b/>
          <w:lang w:val="hr-BA"/>
        </w:rPr>
      </w:pPr>
      <w:r w:rsidRPr="003F4E8A">
        <w:rPr>
          <w:b/>
          <w:lang w:val="hr-BA"/>
        </w:rPr>
        <w:tab/>
      </w:r>
    </w:p>
    <w:p w14:paraId="3D8B0573" w14:textId="77777777" w:rsidR="00637E5B" w:rsidRPr="003F4E8A" w:rsidRDefault="00637E5B" w:rsidP="00637E5B">
      <w:pPr>
        <w:tabs>
          <w:tab w:val="left" w:pos="3135"/>
        </w:tabs>
        <w:rPr>
          <w:b/>
          <w:lang w:val="hr-BA"/>
        </w:rPr>
      </w:pPr>
    </w:p>
    <w:p w14:paraId="291B7D28" w14:textId="77777777" w:rsidR="005D0441" w:rsidRPr="003F4E8A" w:rsidRDefault="005D0441" w:rsidP="005D0441">
      <w:pPr>
        <w:rPr>
          <w:rFonts w:ascii="Times New Roman" w:hAnsi="Times New Roman"/>
          <w:sz w:val="24"/>
          <w:szCs w:val="24"/>
        </w:rPr>
      </w:pPr>
    </w:p>
    <w:p w14:paraId="1E9D3A08" w14:textId="77777777" w:rsidR="005D0441" w:rsidRPr="003F4E8A" w:rsidRDefault="005D0441" w:rsidP="00F81A07">
      <w:pPr>
        <w:jc w:val="both"/>
        <w:rPr>
          <w:rFonts w:ascii="Times New Roman" w:hAnsi="Times New Roman" w:cs="Times New Roman"/>
          <w:sz w:val="24"/>
          <w:szCs w:val="24"/>
        </w:rPr>
      </w:pPr>
      <w:r w:rsidRPr="003F4E8A">
        <w:rPr>
          <w:rFonts w:ascii="Times New Roman" w:hAnsi="Times New Roman" w:cs="Times New Roman"/>
          <w:b/>
          <w:sz w:val="24"/>
          <w:szCs w:val="24"/>
        </w:rPr>
        <w:lastRenderedPageBreak/>
        <w:t>NAPOMENA/OBRAZLOŽENJE</w:t>
      </w:r>
      <w:r w:rsidRPr="003F4E8A">
        <w:rPr>
          <w:rFonts w:ascii="Times New Roman" w:hAnsi="Times New Roman" w:cs="Times New Roman"/>
          <w:sz w:val="24"/>
          <w:szCs w:val="24"/>
        </w:rPr>
        <w:t xml:space="preserve"> (određene specifičnosti za područje jedinice lokalne samouprave): </w:t>
      </w: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D0441" w:rsidRPr="003F4E8A" w14:paraId="47F8249B" w14:textId="77777777" w:rsidTr="000B247D">
        <w:trPr>
          <w:trHeight w:val="4997"/>
        </w:trPr>
        <w:tc>
          <w:tcPr>
            <w:tcW w:w="9322" w:type="dxa"/>
          </w:tcPr>
          <w:p w14:paraId="47E58ED9" w14:textId="78968578" w:rsidR="00872980" w:rsidRPr="003F4E8A" w:rsidRDefault="00872980" w:rsidP="00B94F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F4E8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Katastarski podaci</w:t>
            </w:r>
            <w:r w:rsidR="00484775" w:rsidRPr="003F4E8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549BFE1B" w14:textId="7403C9F2" w:rsidR="00F81A07" w:rsidRPr="003F4E8A" w:rsidRDefault="00F81A07" w:rsidP="00484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Općina Gračac se prostire na 957 km</w:t>
            </w:r>
            <w:r w:rsidRPr="003F4E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te </w:t>
            </w:r>
            <w:r w:rsidR="00B94FF2" w:rsidRPr="003F4E8A">
              <w:rPr>
                <w:rFonts w:ascii="Times New Roman" w:hAnsi="Times New Roman" w:cs="Times New Roman"/>
                <w:sz w:val="24"/>
                <w:szCs w:val="24"/>
              </w:rPr>
              <w:t>obuhvaća sljedeće katastarske općine: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 Begluci, Brotnja, Bruvno, Dabašnica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Deringaj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Drenovac Osredačk</w:t>
            </w:r>
            <w:r w:rsidR="0002426F" w:rsidRPr="003F4E8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Duboki Dol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Dugopolje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Glogovo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Grab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Gračac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Kaldrma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Kijani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Kupirovo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Mazin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Neteka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Omsica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 Osredci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Palanka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Pribudić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Prljevo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Rudopolje Bruvanjsko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Srb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Suvaja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Štikada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Tiškovac Lički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Tomingaj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Velika Popina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Vrelo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Zaklopac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Zrmanja</w:t>
            </w:r>
            <w:r w:rsidR="00484775" w:rsidRPr="003F4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05478C" w14:textId="77777777" w:rsidR="00484775" w:rsidRPr="003F4E8A" w:rsidRDefault="00484775" w:rsidP="00484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513F1" w14:textId="418B54F7" w:rsidR="002F1602" w:rsidRPr="003F4E8A" w:rsidRDefault="00872980" w:rsidP="000B247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3F4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Ukupna površina poljoprivrednog zemljišta u vlasništvu Republike Hrvatske</w:t>
            </w:r>
            <w:r w:rsidR="00484775" w:rsidRPr="003F4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:</w:t>
            </w:r>
          </w:p>
          <w:p w14:paraId="37379F12" w14:textId="6B812E6C" w:rsidR="000D576C" w:rsidRPr="003F4E8A" w:rsidRDefault="000D576C" w:rsidP="000B247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Za izradu ovog Programa koristili su se podaci Državne geodetske uprave prema kojima se na području Općine Gračac nalazi </w:t>
            </w:r>
            <w:r w:rsidR="000A5241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>43.381,29</w:t>
            </w:r>
            <w:r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ha državnog poljoprivrednog zemljišta.</w:t>
            </w:r>
          </w:p>
          <w:p w14:paraId="146B6448" w14:textId="77777777" w:rsidR="00854F48" w:rsidRPr="003F4E8A" w:rsidRDefault="00854F48" w:rsidP="000B247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207B7A9" w14:textId="0886CFA2" w:rsidR="00872980" w:rsidRPr="003F4E8A" w:rsidRDefault="003316F4" w:rsidP="00D26E71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Nakon prikupljanja podataka i dokumentacije iz </w:t>
            </w:r>
            <w:r w:rsidR="00484775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>katastra</w:t>
            </w:r>
            <w:r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 </w:t>
            </w:r>
            <w:r w:rsidR="00484775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>zemljišnih knjiga</w:t>
            </w:r>
            <w:r w:rsidR="00D26E71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te nakon </w:t>
            </w:r>
            <w:r w:rsidR="00484775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>očitovanj</w:t>
            </w:r>
            <w:r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="00484775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javnopravnih tij</w:t>
            </w:r>
            <w:r w:rsidR="00D26E71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>ela</w:t>
            </w:r>
            <w:r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iz ovog Programa </w:t>
            </w:r>
            <w:r w:rsidR="0022147B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je </w:t>
            </w:r>
            <w:r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>izuzet</w:t>
            </w:r>
            <w:r w:rsidR="0022147B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 </w:t>
            </w:r>
            <w:r w:rsidR="00E11606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>32.318,45</w:t>
            </w:r>
            <w:r w:rsidR="0022147B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ha državnog zemljišta po različitim osnovama </w:t>
            </w:r>
            <w:r w:rsidR="000A2F26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te se </w:t>
            </w:r>
            <w:r w:rsidR="00854F48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u tablici </w:t>
            </w:r>
            <w:r w:rsidR="00854F48" w:rsidRPr="003F4E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Prikaz raspolaganja po katastarskim česticama i oblicima raspolaganja </w:t>
            </w:r>
            <w:r w:rsidR="00484775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>nalazi</w:t>
            </w:r>
            <w:r w:rsidR="008B73C4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11.</w:t>
            </w:r>
            <w:r w:rsidR="00E11606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  <w:r w:rsidR="008B73C4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>,3</w:t>
            </w:r>
            <w:r w:rsidR="00E11606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484775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ha poljoprivrednog zemljišta u vlasništvu Republike Hrvatske.</w:t>
            </w:r>
          </w:p>
          <w:p w14:paraId="3A4C64A3" w14:textId="77777777" w:rsidR="0022147B" w:rsidRPr="003F4E8A" w:rsidRDefault="0022147B" w:rsidP="00D26E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3EC4416" w14:textId="5022B372" w:rsidR="00484775" w:rsidRPr="003F4E8A" w:rsidRDefault="0022147B" w:rsidP="000B247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 trenutku izrade Programa nije bilo moguće kvalitetno analizirati statuse pojedinih parcela s obzirom </w:t>
            </w:r>
            <w:r w:rsidR="000A2F26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da niz promjena nije evidentirano u </w:t>
            </w:r>
            <w:r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>katastarsko</w:t>
            </w:r>
            <w:r w:rsidR="000A2F26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  <w:r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A2F26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operatu i evidenciji čestica te zbog </w:t>
            </w:r>
            <w:r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>općenito nesređeno</w:t>
            </w:r>
            <w:r w:rsidR="000A2F26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>g</w:t>
            </w:r>
            <w:r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A2F26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odnosno neusklađenog </w:t>
            </w:r>
            <w:r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>zemljišnoknjižno</w:t>
            </w:r>
            <w:r w:rsidR="000A2F26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>g</w:t>
            </w:r>
            <w:r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stanj</w:t>
            </w:r>
            <w:r w:rsidR="000A2F26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>a.</w:t>
            </w:r>
          </w:p>
          <w:p w14:paraId="5E4B047D" w14:textId="77777777" w:rsidR="00854F48" w:rsidRPr="003F4E8A" w:rsidRDefault="00854F48" w:rsidP="000B247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BDCD68E" w14:textId="1AACF363" w:rsidR="000A2F26" w:rsidRPr="003F4E8A" w:rsidRDefault="00534DA7" w:rsidP="00854F4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>U narednom razdoblju je nužno pristupiti sređivanju zemljišnoknjižnog stanja izuzetih katastarskih čestica te po stjecanju uvjeta potrebnih za raspolaganje državnim poljoprivrednim zemljištem, dopuniti Program</w:t>
            </w:r>
            <w:r w:rsidR="00854F48" w:rsidRPr="003F4E8A">
              <w:rPr>
                <w:rFonts w:ascii="Times New Roman" w:hAnsi="Times New Roman" w:cs="Times New Roman"/>
                <w:iCs/>
                <w:sz w:val="24"/>
                <w:szCs w:val="24"/>
              </w:rPr>
              <w:t>, kako bi se izbjeglo raspolaganje državnim poljoprivrednim zemljištem mimo ugovornih odnosa.</w:t>
            </w:r>
          </w:p>
          <w:p w14:paraId="436B125E" w14:textId="77777777" w:rsidR="000A2F26" w:rsidRPr="003F4E8A" w:rsidRDefault="000A2F26" w:rsidP="000B247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  <w:p w14:paraId="76B906D5" w14:textId="36A1FFAB" w:rsidR="00872980" w:rsidRPr="003F4E8A" w:rsidRDefault="00872980" w:rsidP="000B247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3F4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Podaci o dosadašnjem raspolaganju poljoprivrednim zemljištem u vlasništvu Republike Hrvatske</w:t>
            </w:r>
          </w:p>
          <w:p w14:paraId="227C87CF" w14:textId="0BF9E044" w:rsidR="00375E5A" w:rsidRPr="003F4E8A" w:rsidRDefault="003847CB" w:rsidP="00637E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Poljoprivrednim zemljištem u vlasništvu Republike Hrvatske na području Općine Gračac raspolagalo se temeljem </w:t>
            </w:r>
            <w:r w:rsidR="00375E5A" w:rsidRPr="003F4E8A">
              <w:rPr>
                <w:rFonts w:ascii="Times New Roman" w:eastAsia="Calibri" w:hAnsi="Times New Roman" w:cs="Times New Roman"/>
                <w:sz w:val="24"/>
                <w:szCs w:val="24"/>
              </w:rPr>
              <w:t>ugovora o privremenom korištenju kako je prikazano u tablici T-1</w:t>
            </w:r>
            <w:r w:rsidR="00A97D96" w:rsidRPr="003F4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5E5A" w:rsidRPr="003F4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 </w:t>
            </w:r>
            <w:r w:rsidR="00DA6A1B" w:rsidRPr="003F4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detaljnije </w:t>
            </w:r>
            <w:r w:rsidR="00375E5A" w:rsidRPr="003F4E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naznačeno u tablici </w:t>
            </w:r>
            <w:r w:rsidR="00375E5A" w:rsidRPr="003F4E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Prikaz raspolaganja po katastarskim česticama i oblicima raspolaganja. </w:t>
            </w:r>
            <w:r w:rsidR="00A97D96" w:rsidRPr="003F4E8A">
              <w:rPr>
                <w:rFonts w:ascii="Times New Roman" w:eastAsia="Calibri" w:hAnsi="Times New Roman" w:cs="Times New Roman"/>
                <w:sz w:val="24"/>
                <w:szCs w:val="24"/>
              </w:rPr>
              <w:t>Podaci se odnose na ugovore o privremenom korištenju koji su na snazi u trenutku izrade Programa.</w:t>
            </w:r>
          </w:p>
          <w:p w14:paraId="188D7F68" w14:textId="77777777" w:rsidR="00872980" w:rsidRPr="003F4E8A" w:rsidRDefault="00872980" w:rsidP="000B247D">
            <w:pP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14:paraId="075FA120" w14:textId="32DAFAA4" w:rsidR="005D0441" w:rsidRPr="003F4E8A" w:rsidRDefault="00B94FF2" w:rsidP="000B247D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3F4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Površine određene za povrat</w:t>
            </w:r>
          </w:p>
          <w:p w14:paraId="15CE233F" w14:textId="77777777" w:rsidR="002F1602" w:rsidRPr="003F4E8A" w:rsidRDefault="002F1602" w:rsidP="000B247D">
            <w:pPr>
              <w:rPr>
                <w:rFonts w:ascii="Times New Roman" w:hAnsi="Times New Roman" w:cs="Times New Roman"/>
                <w:b/>
                <w:bCs/>
                <w:iCs/>
                <w:sz w:val="12"/>
                <w:szCs w:val="12"/>
                <w:u w:val="single"/>
              </w:rPr>
            </w:pPr>
          </w:p>
          <w:p w14:paraId="7B9D18C7" w14:textId="762E6BB4" w:rsidR="002F1602" w:rsidRPr="003F4E8A" w:rsidRDefault="005B6728" w:rsidP="002F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Za povrat poljoprivrednog zemljišta na području Općine Gračac određena je površina od 1</w:t>
            </w:r>
            <w:r w:rsidR="00F1086B" w:rsidRPr="003F4E8A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  <w:r w:rsidR="00E313E6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ha poljoprivrednog zemljišta u vlasništvu Republike Hrvatske.</w:t>
            </w:r>
          </w:p>
          <w:p w14:paraId="7ACE37E4" w14:textId="77777777" w:rsidR="00854F48" w:rsidRPr="003F4E8A" w:rsidRDefault="00854F48" w:rsidP="002F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5A8AE" w14:textId="54430DC1" w:rsidR="002F1602" w:rsidRPr="003F4E8A" w:rsidRDefault="00B94FF2" w:rsidP="002F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Površine za koje su podneseni zahtjevi za povrat i koje su u ovom Programu određene za povrat do okončanja postupka povrata</w:t>
            </w:r>
            <w:r w:rsidR="00375E5A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 odnosno 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donošenja pravomoćnih rješenja, raspolagat će se putem zakupa sukladno članku 31. stavku 2. Zakona, a u slučaju negativnog rješavanja zahtjeva poljoprivrednim zemljištem raspolagat će se putem zakupa. </w:t>
            </w:r>
          </w:p>
          <w:p w14:paraId="2B737C8E" w14:textId="77777777" w:rsidR="00854F48" w:rsidRPr="003F4E8A" w:rsidRDefault="00854F48" w:rsidP="002F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4C538" w14:textId="7B6122A7" w:rsidR="00375E5A" w:rsidRPr="003F4E8A" w:rsidRDefault="00B94FF2" w:rsidP="00B9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Predviđene površine za povrat nalaze se u katastarskoj općini </w:t>
            </w:r>
            <w:r w:rsidR="00F1086B" w:rsidRPr="003F4E8A">
              <w:rPr>
                <w:rFonts w:ascii="Times New Roman" w:hAnsi="Times New Roman" w:cs="Times New Roman"/>
                <w:sz w:val="24"/>
                <w:szCs w:val="24"/>
              </w:rPr>
              <w:t>Vrelo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87B5242" w14:textId="77777777" w:rsidR="00A97D96" w:rsidRPr="003F4E8A" w:rsidRDefault="00A97D96" w:rsidP="00B9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6FA4D" w14:textId="5A2935C8" w:rsidR="00375E5A" w:rsidRPr="003F4E8A" w:rsidRDefault="00B94FF2" w:rsidP="00637E5B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Detaljan pregled površina je dan u tablici</w:t>
            </w:r>
            <w:r w:rsidR="00710405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E5A" w:rsidRPr="003F4E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Prikaz raspolaganja po katastarskim česticama i oblicima raspolaganja.</w:t>
            </w:r>
          </w:p>
          <w:p w14:paraId="7A012FE4" w14:textId="77777777" w:rsidR="00854F48" w:rsidRPr="003F4E8A" w:rsidRDefault="00854F48" w:rsidP="00637E5B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42EE2137" w14:textId="4BC0C5A8" w:rsidR="00B94FF2" w:rsidRPr="003F4E8A" w:rsidRDefault="00375E5A" w:rsidP="00B9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Na </w:t>
            </w:r>
            <w:r w:rsidR="00A55D26" w:rsidRPr="003F4E8A">
              <w:rPr>
                <w:rFonts w:ascii="Times New Roman" w:hAnsi="Times New Roman" w:cs="Times New Roman"/>
                <w:sz w:val="24"/>
                <w:szCs w:val="24"/>
              </w:rPr>
              <w:t>preglednoj karti odnosno kartografskom prikazu načina raspolaganja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, površine određene za povrat</w:t>
            </w:r>
            <w:r w:rsidR="00A55D26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 označene su plavom bojom.</w:t>
            </w:r>
          </w:p>
          <w:p w14:paraId="037F4303" w14:textId="77777777" w:rsidR="00854F48" w:rsidRPr="003F4E8A" w:rsidRDefault="00854F48" w:rsidP="000B2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E6266" w14:textId="7366FA3D" w:rsidR="00B94FF2" w:rsidRPr="003F4E8A" w:rsidRDefault="00B94FF2" w:rsidP="00B94FF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bookmarkStart w:id="1" w:name="_Toc520360728"/>
            <w:r w:rsidRPr="003F4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Površine određene za prodaju</w:t>
            </w:r>
            <w:bookmarkEnd w:id="1"/>
          </w:p>
          <w:p w14:paraId="509AEF9E" w14:textId="77777777" w:rsidR="002F1602" w:rsidRPr="003F4E8A" w:rsidRDefault="002F1602" w:rsidP="00B94FF2">
            <w:pPr>
              <w:rPr>
                <w:rFonts w:ascii="Times New Roman" w:hAnsi="Times New Roman" w:cs="Times New Roman"/>
                <w:b/>
                <w:bCs/>
                <w:iCs/>
                <w:sz w:val="12"/>
                <w:szCs w:val="12"/>
                <w:u w:val="single"/>
              </w:rPr>
            </w:pPr>
          </w:p>
          <w:p w14:paraId="101C47C5" w14:textId="2358CF93" w:rsidR="00A55D26" w:rsidRPr="003F4E8A" w:rsidRDefault="00A55D26" w:rsidP="00A5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Predmetnim programom Općina Gračac nije namijenila čestice za </w:t>
            </w:r>
            <w:r w:rsidR="00F0041F" w:rsidRPr="003F4E8A">
              <w:rPr>
                <w:rFonts w:ascii="Times New Roman" w:hAnsi="Times New Roman" w:cs="Times New Roman"/>
                <w:sz w:val="24"/>
                <w:szCs w:val="24"/>
              </w:rPr>
              <w:t>prodaju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. Ukoliko se u narednim razdobljima utvrdi potreba za istim pristupit će se izmjenama predmetnog programa kroz identifikaciju čestica, razradu uvjeta i drugih elemenata koje za taj postupak propisuju nadležni zakoni.</w:t>
            </w:r>
          </w:p>
          <w:p w14:paraId="64DB8C9B" w14:textId="770D4DF8" w:rsidR="002F1602" w:rsidRPr="003F4E8A" w:rsidRDefault="002F1602" w:rsidP="00A55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520360729"/>
          </w:p>
          <w:p w14:paraId="32119B93" w14:textId="7EC86FC8" w:rsidR="00B94FF2" w:rsidRPr="003F4E8A" w:rsidRDefault="00B94FF2" w:rsidP="00375E5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3F4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Površine određene za zakup</w:t>
            </w:r>
            <w:bookmarkEnd w:id="2"/>
          </w:p>
          <w:p w14:paraId="688A2CA5" w14:textId="24F31156" w:rsidR="00B94FF2" w:rsidRPr="003F4E8A" w:rsidRDefault="00B94FF2" w:rsidP="002F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Na području </w:t>
            </w:r>
            <w:r w:rsidR="00375E5A" w:rsidRPr="003F4E8A">
              <w:rPr>
                <w:rFonts w:ascii="Times New Roman" w:hAnsi="Times New Roman" w:cs="Times New Roman"/>
                <w:sz w:val="24"/>
                <w:szCs w:val="24"/>
              </w:rPr>
              <w:t>Općine Gračac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 ukupna površina poljoprivrednog zemljišta predviđena za zakup je </w:t>
            </w:r>
            <w:r w:rsidR="00320303" w:rsidRPr="003F4E8A">
              <w:rPr>
                <w:rFonts w:ascii="Times New Roman" w:hAnsi="Times New Roman" w:cs="Times New Roman"/>
                <w:sz w:val="24"/>
                <w:szCs w:val="24"/>
              </w:rPr>
              <w:t>10.988,02 ha</w:t>
            </w:r>
            <w:r w:rsidR="008B73C4" w:rsidRPr="003F4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9E89F2" w14:textId="77777777" w:rsidR="002F1602" w:rsidRPr="003F4E8A" w:rsidRDefault="002F1602" w:rsidP="00B94FF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7DF9268" w14:textId="2F1F0A17" w:rsidR="00B94FF2" w:rsidRPr="003F4E8A" w:rsidRDefault="00B94FF2" w:rsidP="00B9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Prema načinu upotrebe tj. katastarskoj kulturi površine su podijeljene na sljedeći način:</w:t>
            </w:r>
          </w:p>
          <w:p w14:paraId="54D2F3E3" w14:textId="77777777" w:rsidR="002F1602" w:rsidRPr="003F4E8A" w:rsidRDefault="002F1602" w:rsidP="00B94FF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70058CC" w14:textId="0147B840" w:rsidR="00B94FF2" w:rsidRPr="003F4E8A" w:rsidRDefault="00C031B9" w:rsidP="00C031B9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Livada</w:t>
            </w:r>
            <w:r w:rsidR="00B94FF2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 sa </w:t>
            </w:r>
            <w:r w:rsidR="00320303" w:rsidRPr="003F4E8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8B73C4" w:rsidRPr="003F4E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303" w:rsidRPr="003F4E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94FF2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 ha</w:t>
            </w:r>
          </w:p>
          <w:p w14:paraId="635B9314" w14:textId="66E2C1B9" w:rsidR="00B94FF2" w:rsidRPr="003F4E8A" w:rsidRDefault="00B94FF2" w:rsidP="00C031B9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Oranica </w:t>
            </w:r>
            <w:r w:rsidR="00540D59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r w:rsidR="00320303" w:rsidRPr="003F4E8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="008B73C4" w:rsidRPr="003F4E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303" w:rsidRPr="003F4E8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 ha</w:t>
            </w:r>
          </w:p>
          <w:p w14:paraId="4B26419A" w14:textId="7250DD31" w:rsidR="00B94FF2" w:rsidRPr="003F4E8A" w:rsidRDefault="00C031B9" w:rsidP="00C031B9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Pašnjak</w:t>
            </w:r>
            <w:r w:rsidR="00B94FF2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 sa </w:t>
            </w:r>
            <w:r w:rsidR="00320303" w:rsidRPr="003F4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73C4" w:rsidRPr="003F4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0303" w:rsidRPr="003F4E8A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="008B73C4" w:rsidRPr="003F4E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0303" w:rsidRPr="003F4E8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B94FF2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 ha</w:t>
            </w:r>
          </w:p>
          <w:p w14:paraId="0C38D830" w14:textId="0674694F" w:rsidR="00B94FF2" w:rsidRPr="003F4E8A" w:rsidRDefault="00C031B9" w:rsidP="00C031B9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Voćnjak</w:t>
            </w:r>
            <w:r w:rsidR="00B94FF2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 sa </w:t>
            </w:r>
            <w:r w:rsidR="008B73C4" w:rsidRPr="003F4E8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20303" w:rsidRPr="003F4E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94FF2"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 ha</w:t>
            </w:r>
          </w:p>
          <w:p w14:paraId="3AF8A8A8" w14:textId="51A39522" w:rsidR="00320303" w:rsidRPr="003F4E8A" w:rsidRDefault="00320303" w:rsidP="00C031B9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>Nerazvrstano poljoprivredno zemljište sa 0,12 ha.</w:t>
            </w:r>
          </w:p>
          <w:p w14:paraId="10EAA50D" w14:textId="77777777" w:rsidR="002F1602" w:rsidRPr="003F4E8A" w:rsidRDefault="002F1602" w:rsidP="00B9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A551E" w14:textId="7960A92F" w:rsidR="00B94FF2" w:rsidRPr="003F4E8A" w:rsidRDefault="00B94FF2" w:rsidP="002F160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Detaljan prikaz raspoloživih površina prikazan je u </w:t>
            </w:r>
            <w:r w:rsidR="00DB1A41" w:rsidRPr="003F4E8A">
              <w:rPr>
                <w:rFonts w:ascii="Times New Roman" w:hAnsi="Times New Roman" w:cs="Times New Roman"/>
                <w:sz w:val="24"/>
                <w:szCs w:val="24"/>
              </w:rPr>
              <w:t>tablici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Prikaz raspolaganja po katastarskim česticama i oblicima raspolaganja.</w:t>
            </w:r>
          </w:p>
          <w:p w14:paraId="1C305C22" w14:textId="77777777" w:rsidR="00B94FF2" w:rsidRPr="003F4E8A" w:rsidRDefault="00B94FF2" w:rsidP="00B9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B3E20" w14:textId="14CAA776" w:rsidR="00DC2C11" w:rsidRPr="003F4E8A" w:rsidRDefault="00DC2C11" w:rsidP="00B94FF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3F4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Površine određene za koncesiju</w:t>
            </w:r>
          </w:p>
          <w:p w14:paraId="3D871523" w14:textId="77777777" w:rsidR="002F1602" w:rsidRPr="003F4E8A" w:rsidRDefault="002F1602" w:rsidP="00B94FF2">
            <w:pPr>
              <w:rPr>
                <w:rFonts w:ascii="Times New Roman" w:hAnsi="Times New Roman" w:cs="Times New Roman"/>
                <w:b/>
                <w:bCs/>
                <w:iCs/>
                <w:sz w:val="12"/>
                <w:szCs w:val="12"/>
                <w:u w:val="single"/>
              </w:rPr>
            </w:pPr>
          </w:p>
          <w:p w14:paraId="0F9B06D4" w14:textId="62D66665" w:rsidR="00DC2C11" w:rsidRPr="003F4E8A" w:rsidRDefault="00DC2C11" w:rsidP="002F1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Predmetnim programom </w:t>
            </w:r>
            <w:r w:rsidR="00A55D26" w:rsidRPr="003F4E8A">
              <w:rPr>
                <w:rFonts w:ascii="Times New Roman" w:hAnsi="Times New Roman" w:cs="Times New Roman"/>
                <w:sz w:val="24"/>
                <w:szCs w:val="24"/>
              </w:rPr>
              <w:t>Općina Gračac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 nije namijenila čestice za koncesiju. Ukoliko se u narednim razdobljima utvrdi potreba za istim pristupit će se </w:t>
            </w:r>
            <w:r w:rsidR="00A55D26" w:rsidRPr="003F4E8A">
              <w:rPr>
                <w:rFonts w:ascii="Times New Roman" w:hAnsi="Times New Roman" w:cs="Times New Roman"/>
                <w:sz w:val="24"/>
                <w:szCs w:val="24"/>
              </w:rPr>
              <w:t>izmjenama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 predmetnog programa kroz identifikaciju čestica, razradu uvjeta i drugih elemenata koje za taj postupak propisuju nadležni zakoni.</w:t>
            </w:r>
          </w:p>
          <w:p w14:paraId="4961A524" w14:textId="77777777" w:rsidR="00AE626C" w:rsidRPr="003F4E8A" w:rsidRDefault="00AE626C" w:rsidP="00DC2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943C6" w14:textId="0242AD32" w:rsidR="00AE626C" w:rsidRPr="003F4E8A" w:rsidRDefault="00AE626C" w:rsidP="00AE626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bookmarkStart w:id="3" w:name="_Toc520360731"/>
            <w:r w:rsidRPr="003F4E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Površine određene za ostalo</w:t>
            </w:r>
            <w:bookmarkEnd w:id="3"/>
          </w:p>
          <w:p w14:paraId="52FB0399" w14:textId="77777777" w:rsidR="002F1602" w:rsidRPr="003F4E8A" w:rsidRDefault="002F1602" w:rsidP="00AE626C">
            <w:pPr>
              <w:rPr>
                <w:rFonts w:ascii="Times New Roman" w:hAnsi="Times New Roman" w:cs="Times New Roman"/>
                <w:b/>
                <w:bCs/>
                <w:iCs/>
                <w:sz w:val="12"/>
                <w:szCs w:val="12"/>
                <w:u w:val="single"/>
              </w:rPr>
            </w:pPr>
          </w:p>
          <w:p w14:paraId="06F6964A" w14:textId="77777777" w:rsidR="00B94FF2" w:rsidRPr="003F4E8A" w:rsidRDefault="00540C24" w:rsidP="00EC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Predmetnim programom </w:t>
            </w:r>
            <w:r w:rsidR="00A55D26" w:rsidRPr="003F4E8A">
              <w:rPr>
                <w:rFonts w:ascii="Times New Roman" w:hAnsi="Times New Roman" w:cs="Times New Roman"/>
                <w:sz w:val="24"/>
                <w:szCs w:val="24"/>
              </w:rPr>
              <w:t>Općina Gračac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 nije namijenila čestice za ostale namjene. Ukoliko se u narednim razdobljima utvrdi potreba za istim pristupit će se </w:t>
            </w:r>
            <w:r w:rsidR="00A55D26" w:rsidRPr="003F4E8A">
              <w:rPr>
                <w:rFonts w:ascii="Times New Roman" w:hAnsi="Times New Roman" w:cs="Times New Roman"/>
                <w:sz w:val="24"/>
                <w:szCs w:val="24"/>
              </w:rPr>
              <w:t>izmjenama</w:t>
            </w:r>
            <w:r w:rsidRPr="003F4E8A">
              <w:rPr>
                <w:rFonts w:ascii="Times New Roman" w:hAnsi="Times New Roman" w:cs="Times New Roman"/>
                <w:sz w:val="24"/>
                <w:szCs w:val="24"/>
              </w:rPr>
              <w:t xml:space="preserve"> predmetnog programa kroz identifikaciju čestica, razradu uvjeta i drugih elemenata koje za taj postupak propisuju nadležni zakoni.</w:t>
            </w:r>
          </w:p>
          <w:p w14:paraId="2807A2AA" w14:textId="0E0F95E8" w:rsidR="00A97D96" w:rsidRPr="003F4E8A" w:rsidRDefault="00A97D96" w:rsidP="00EC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A127C7" w14:textId="7761D8C6" w:rsidR="00FE4602" w:rsidRPr="003F4E8A" w:rsidRDefault="00000000"/>
    <w:p w14:paraId="7FC60D46" w14:textId="6BF8459E" w:rsidR="00637E5B" w:rsidRPr="003F4E8A" w:rsidRDefault="00637E5B" w:rsidP="00637E5B"/>
    <w:p w14:paraId="2E939CBC" w14:textId="77769A6F" w:rsidR="00637E5B" w:rsidRDefault="00637E5B" w:rsidP="00637E5B">
      <w:pPr>
        <w:ind w:firstLine="708"/>
      </w:pPr>
    </w:p>
    <w:p w14:paraId="1C0F7941" w14:textId="18AB7FDE" w:rsidR="00637E5B" w:rsidRDefault="00637E5B" w:rsidP="00637E5B">
      <w:pPr>
        <w:ind w:firstLine="708"/>
      </w:pPr>
    </w:p>
    <w:p w14:paraId="0655258B" w14:textId="0B8DFA53" w:rsidR="00637E5B" w:rsidRDefault="00637E5B" w:rsidP="00637E5B">
      <w:pPr>
        <w:ind w:firstLine="708"/>
      </w:pPr>
    </w:p>
    <w:p w14:paraId="60C8F7CD" w14:textId="18D74F6A" w:rsidR="00637E5B" w:rsidRDefault="00637E5B" w:rsidP="00637E5B">
      <w:pPr>
        <w:ind w:firstLine="708"/>
      </w:pPr>
    </w:p>
    <w:p w14:paraId="170E441E" w14:textId="1957E5A1" w:rsidR="00637E5B" w:rsidRDefault="00637E5B" w:rsidP="00637E5B">
      <w:pPr>
        <w:ind w:firstLine="708"/>
      </w:pPr>
    </w:p>
    <w:p w14:paraId="2FA0F20E" w14:textId="77777777" w:rsidR="00637E5B" w:rsidRDefault="00637E5B" w:rsidP="00683ADE"/>
    <w:p w14:paraId="30C59919" w14:textId="2611F5E5" w:rsidR="00637E5B" w:rsidRDefault="00637E5B" w:rsidP="00637E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37E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PRILOZI:</w:t>
      </w:r>
    </w:p>
    <w:p w14:paraId="1A13096B" w14:textId="77777777" w:rsidR="00C031B9" w:rsidRPr="00637E5B" w:rsidRDefault="00C031B9" w:rsidP="00637E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6BADB6" w14:textId="7FB7F49F" w:rsidR="00637E5B" w:rsidRPr="00C031B9" w:rsidRDefault="00637E5B" w:rsidP="00C031B9">
      <w:pPr>
        <w:pStyle w:val="Odlomakpopisa"/>
        <w:numPr>
          <w:ilvl w:val="0"/>
          <w:numId w:val="10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031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Kopij</w:t>
      </w:r>
      <w:r w:rsidR="005908C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e</w:t>
      </w:r>
      <w:r w:rsidRPr="00C031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katastarsk</w:t>
      </w:r>
      <w:r w:rsidR="005908C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ih</w:t>
      </w:r>
      <w:r w:rsidRPr="00C031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plan</w:t>
      </w:r>
      <w:r w:rsidR="005908C1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ova</w:t>
      </w:r>
      <w:r w:rsidR="003E71CF" w:rsidRPr="00C031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digitalnom obliku s označenim </w:t>
      </w:r>
      <w:r w:rsidR="00D46393" w:rsidRPr="00C031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poljoprivrednim površinama po obliku</w:t>
      </w:r>
      <w:r w:rsidR="003E71CF" w:rsidRPr="00C031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raspolaganja</w:t>
      </w:r>
      <w:r w:rsidR="00D46393" w:rsidRPr="00C031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</w:p>
    <w:p w14:paraId="4FF3E1A7" w14:textId="77777777" w:rsidR="00637E5B" w:rsidRPr="00C031B9" w:rsidRDefault="00637E5B" w:rsidP="00C031B9">
      <w:pPr>
        <w:pStyle w:val="Odlomakpopisa"/>
        <w:numPr>
          <w:ilvl w:val="0"/>
          <w:numId w:val="10"/>
        </w:num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031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Zemljišnoknjižni izvadci, Posjedovni listovi,</w:t>
      </w:r>
    </w:p>
    <w:p w14:paraId="5A24A8E5" w14:textId="02D01510" w:rsidR="00637E5B" w:rsidRPr="00C031B9" w:rsidRDefault="00637E5B" w:rsidP="00C031B9">
      <w:pPr>
        <w:pStyle w:val="Odlomakpopisa"/>
        <w:numPr>
          <w:ilvl w:val="0"/>
          <w:numId w:val="10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031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Uvjerenje Upravnog tijela županije, odnosno Grada Zagreba, nadležnog za prostorno uređenje da se predmetne čestice nalaze izvan granica građevinskog područja,</w:t>
      </w:r>
    </w:p>
    <w:p w14:paraId="4B70423E" w14:textId="77777777" w:rsidR="00637E5B" w:rsidRPr="00C031B9" w:rsidRDefault="00637E5B" w:rsidP="00C031B9">
      <w:pPr>
        <w:pStyle w:val="Odlomakpopisa"/>
        <w:numPr>
          <w:ilvl w:val="0"/>
          <w:numId w:val="10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031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Očitovanje tijela regionalne samouprave, odnosno Grada Zagreba o površini koju je potrebno osigurati kao nadoknadu za oduzetu imovinu,</w:t>
      </w:r>
    </w:p>
    <w:p w14:paraId="2CAA1154" w14:textId="2E7497C0" w:rsidR="00637E5B" w:rsidRPr="00C031B9" w:rsidRDefault="00637E5B" w:rsidP="00C031B9">
      <w:pPr>
        <w:pStyle w:val="Odlomakpopisa"/>
        <w:numPr>
          <w:ilvl w:val="0"/>
          <w:numId w:val="10"/>
        </w:num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031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Uvjerenje Hrvatskih šuma d.o.o.</w:t>
      </w:r>
      <w:r w:rsidR="00D12D5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- nadležne Uprave šuma da predmetne čestice nisu obuhvaćene šumskogospodarskom osnovom,</w:t>
      </w:r>
    </w:p>
    <w:p w14:paraId="13677DF6" w14:textId="59C3EC98" w:rsidR="00637E5B" w:rsidRPr="00C031B9" w:rsidRDefault="00637E5B" w:rsidP="00C031B9">
      <w:pPr>
        <w:pStyle w:val="Odlomakpopisa"/>
        <w:numPr>
          <w:ilvl w:val="0"/>
          <w:numId w:val="10"/>
        </w:num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031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Očitovanje Hrvatskih voda</w:t>
      </w:r>
      <w:r w:rsidR="00D12D5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jesu li i koje predmetne čestice javno vodno dobro,</w:t>
      </w:r>
    </w:p>
    <w:p w14:paraId="045813EC" w14:textId="1681251F" w:rsidR="00637E5B" w:rsidRPr="00C031B9" w:rsidRDefault="00637E5B" w:rsidP="00C031B9">
      <w:pPr>
        <w:pStyle w:val="Odlomakpopisa"/>
        <w:numPr>
          <w:ilvl w:val="0"/>
          <w:numId w:val="10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031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Uvjerenje Upravnog tijela županije, odnosno Grada Zagreba, nadležnog za prostorno uređenje </w:t>
      </w:r>
      <w:r w:rsidR="00D12D5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jesu li i koje </w:t>
      </w:r>
      <w:r w:rsidRPr="00C031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predmetne čestice u obuhvatu postojećeg i/ili planiranog sustava javnog navodnjavanja,</w:t>
      </w:r>
    </w:p>
    <w:p w14:paraId="4200F823" w14:textId="72F9E308" w:rsidR="00637E5B" w:rsidRPr="00C031B9" w:rsidRDefault="00637E5B" w:rsidP="00C031B9">
      <w:pPr>
        <w:pStyle w:val="Odlomakpopisa"/>
        <w:numPr>
          <w:ilvl w:val="0"/>
          <w:numId w:val="10"/>
        </w:num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031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Očitovanje </w:t>
      </w:r>
      <w:r w:rsidR="00D12D5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Ministarstva unutarnjih poslova, </w:t>
      </w:r>
      <w:r w:rsidRPr="00C031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Hrvatskog centra za razminiranje,</w:t>
      </w:r>
    </w:p>
    <w:p w14:paraId="69D22CF6" w14:textId="6129233C" w:rsidR="00637E5B" w:rsidRPr="00C031B9" w:rsidRDefault="00637E5B" w:rsidP="00C031B9">
      <w:pPr>
        <w:pStyle w:val="Odlomakpopisa"/>
        <w:numPr>
          <w:ilvl w:val="0"/>
          <w:numId w:val="10"/>
        </w:num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031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Mišljenje nadležnog tijela za zaštitu okoliša o potrebi provedbe strateške procjene utjecaja na okoliš</w:t>
      </w:r>
      <w:r w:rsidR="00D46393" w:rsidRPr="00C031B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7E22CF13" w14:textId="77777777" w:rsidR="00637E5B" w:rsidRPr="00637E5B" w:rsidRDefault="00637E5B" w:rsidP="00637E5B"/>
    <w:sectPr w:rsidR="00637E5B" w:rsidRPr="00637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516E" w14:textId="77777777" w:rsidR="00BC6A21" w:rsidRDefault="00BC6A21" w:rsidP="00872980">
      <w:pPr>
        <w:spacing w:after="0" w:line="240" w:lineRule="auto"/>
      </w:pPr>
      <w:r>
        <w:separator/>
      </w:r>
    </w:p>
  </w:endnote>
  <w:endnote w:type="continuationSeparator" w:id="0">
    <w:p w14:paraId="73E79748" w14:textId="77777777" w:rsidR="00BC6A21" w:rsidRDefault="00BC6A21" w:rsidP="0087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86E29" w14:textId="77777777" w:rsidR="00BC6A21" w:rsidRDefault="00BC6A21" w:rsidP="00872980">
      <w:pPr>
        <w:spacing w:after="0" w:line="240" w:lineRule="auto"/>
      </w:pPr>
      <w:r>
        <w:separator/>
      </w:r>
    </w:p>
  </w:footnote>
  <w:footnote w:type="continuationSeparator" w:id="0">
    <w:p w14:paraId="5CAAAD59" w14:textId="77777777" w:rsidR="00BC6A21" w:rsidRDefault="00BC6A21" w:rsidP="00872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C01"/>
    <w:multiLevelType w:val="hybridMultilevel"/>
    <w:tmpl w:val="04FA379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81DED"/>
    <w:multiLevelType w:val="hybridMultilevel"/>
    <w:tmpl w:val="806E6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D27F6"/>
    <w:multiLevelType w:val="hybridMultilevel"/>
    <w:tmpl w:val="C36A7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E59D2"/>
    <w:multiLevelType w:val="hybridMultilevel"/>
    <w:tmpl w:val="A21ED540"/>
    <w:lvl w:ilvl="0" w:tplc="E392F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45C52"/>
    <w:multiLevelType w:val="hybridMultilevel"/>
    <w:tmpl w:val="E74E4254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E071C0"/>
    <w:multiLevelType w:val="hybridMultilevel"/>
    <w:tmpl w:val="559A6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84D5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CFE7ABD"/>
    <w:multiLevelType w:val="hybridMultilevel"/>
    <w:tmpl w:val="EB5CC4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3285A"/>
    <w:multiLevelType w:val="multilevel"/>
    <w:tmpl w:val="717CFC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90745594">
    <w:abstractNumId w:val="1"/>
  </w:num>
  <w:num w:numId="2" w16cid:durableId="1368411683">
    <w:abstractNumId w:val="7"/>
  </w:num>
  <w:num w:numId="3" w16cid:durableId="17353521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4208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8944454">
    <w:abstractNumId w:val="7"/>
  </w:num>
  <w:num w:numId="6" w16cid:durableId="2080903533">
    <w:abstractNumId w:val="5"/>
  </w:num>
  <w:num w:numId="7" w16cid:durableId="692266777">
    <w:abstractNumId w:val="2"/>
  </w:num>
  <w:num w:numId="8" w16cid:durableId="895700457">
    <w:abstractNumId w:val="3"/>
  </w:num>
  <w:num w:numId="9" w16cid:durableId="780758773">
    <w:abstractNumId w:val="0"/>
  </w:num>
  <w:num w:numId="10" w16cid:durableId="827283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441"/>
    <w:rsid w:val="0002426F"/>
    <w:rsid w:val="000A2F26"/>
    <w:rsid w:val="000A5241"/>
    <w:rsid w:val="000B595B"/>
    <w:rsid w:val="000D576C"/>
    <w:rsid w:val="0013030F"/>
    <w:rsid w:val="001449E6"/>
    <w:rsid w:val="001F2B1A"/>
    <w:rsid w:val="0022147B"/>
    <w:rsid w:val="002F1602"/>
    <w:rsid w:val="00320303"/>
    <w:rsid w:val="003316F4"/>
    <w:rsid w:val="00375E5A"/>
    <w:rsid w:val="003847CB"/>
    <w:rsid w:val="00386FF4"/>
    <w:rsid w:val="003E71CF"/>
    <w:rsid w:val="003F4E8A"/>
    <w:rsid w:val="004324DB"/>
    <w:rsid w:val="00484775"/>
    <w:rsid w:val="004E58DB"/>
    <w:rsid w:val="00534DA7"/>
    <w:rsid w:val="00540C24"/>
    <w:rsid w:val="00540D59"/>
    <w:rsid w:val="005908C1"/>
    <w:rsid w:val="005A6F16"/>
    <w:rsid w:val="005B6728"/>
    <w:rsid w:val="005C0962"/>
    <w:rsid w:val="005D0441"/>
    <w:rsid w:val="00637E5B"/>
    <w:rsid w:val="00683ADE"/>
    <w:rsid w:val="006A57DC"/>
    <w:rsid w:val="00710405"/>
    <w:rsid w:val="00775E30"/>
    <w:rsid w:val="00786698"/>
    <w:rsid w:val="00854F48"/>
    <w:rsid w:val="00872980"/>
    <w:rsid w:val="008B73C4"/>
    <w:rsid w:val="008F69A0"/>
    <w:rsid w:val="00944C8F"/>
    <w:rsid w:val="00955101"/>
    <w:rsid w:val="009F6FC4"/>
    <w:rsid w:val="00A32A88"/>
    <w:rsid w:val="00A55D26"/>
    <w:rsid w:val="00A97D96"/>
    <w:rsid w:val="00AE626C"/>
    <w:rsid w:val="00B35264"/>
    <w:rsid w:val="00B82D93"/>
    <w:rsid w:val="00B94FF2"/>
    <w:rsid w:val="00BC6A21"/>
    <w:rsid w:val="00BF2C4E"/>
    <w:rsid w:val="00C031B9"/>
    <w:rsid w:val="00C20D7D"/>
    <w:rsid w:val="00C23AF9"/>
    <w:rsid w:val="00CB1B16"/>
    <w:rsid w:val="00CC7C34"/>
    <w:rsid w:val="00CD73AF"/>
    <w:rsid w:val="00CF14CB"/>
    <w:rsid w:val="00D12D53"/>
    <w:rsid w:val="00D16BB7"/>
    <w:rsid w:val="00D26E71"/>
    <w:rsid w:val="00D46393"/>
    <w:rsid w:val="00DA6A1B"/>
    <w:rsid w:val="00DB1A41"/>
    <w:rsid w:val="00DC2C11"/>
    <w:rsid w:val="00DE1A6A"/>
    <w:rsid w:val="00E11606"/>
    <w:rsid w:val="00E313E6"/>
    <w:rsid w:val="00EC375C"/>
    <w:rsid w:val="00EC4FDA"/>
    <w:rsid w:val="00F0041F"/>
    <w:rsid w:val="00F1086B"/>
    <w:rsid w:val="00F81A07"/>
    <w:rsid w:val="00F8789F"/>
    <w:rsid w:val="00FA6A5F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0F41"/>
  <w15:docId w15:val="{340E15F7-F207-4EE9-BF2A-311FA634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441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E6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aliases w:val="3 - naslov"/>
    <w:basedOn w:val="Normal"/>
    <w:next w:val="Normal"/>
    <w:link w:val="Naslov3Char"/>
    <w:uiPriority w:val="9"/>
    <w:semiHidden/>
    <w:unhideWhenUsed/>
    <w:qFormat/>
    <w:rsid w:val="00B94FF2"/>
    <w:pPr>
      <w:keepNext/>
      <w:keepLines/>
      <w:spacing w:before="40" w:after="0"/>
      <w:outlineLvl w:val="2"/>
    </w:pPr>
    <w:rPr>
      <w:rFonts w:ascii="Trebuchet MS" w:eastAsiaTheme="majorEastAsia" w:hAnsi="Trebuchet MS" w:cstheme="majorBidi"/>
      <w:sz w:val="3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D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5D0441"/>
    <w:pPr>
      <w:ind w:left="720"/>
      <w:contextualSpacing/>
    </w:pPr>
  </w:style>
  <w:style w:type="paragraph" w:styleId="Bezproreda">
    <w:name w:val="No Spacing"/>
    <w:uiPriority w:val="1"/>
    <w:qFormat/>
    <w:rsid w:val="005D0441"/>
    <w:pPr>
      <w:spacing w:after="0" w:line="240" w:lineRule="auto"/>
    </w:p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B94FF2"/>
  </w:style>
  <w:style w:type="character" w:customStyle="1" w:styleId="Naslov3Char">
    <w:name w:val="Naslov 3 Char"/>
    <w:aliases w:val="3 - naslov Char"/>
    <w:basedOn w:val="Zadanifontodlomka"/>
    <w:link w:val="Naslov3"/>
    <w:uiPriority w:val="9"/>
    <w:semiHidden/>
    <w:rsid w:val="00B94FF2"/>
    <w:rPr>
      <w:rFonts w:ascii="Trebuchet MS" w:eastAsiaTheme="majorEastAsia" w:hAnsi="Trebuchet MS" w:cstheme="majorBidi"/>
      <w:sz w:val="36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E62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2A8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72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2980"/>
  </w:style>
  <w:style w:type="paragraph" w:styleId="Podnoje">
    <w:name w:val="footer"/>
    <w:basedOn w:val="Normal"/>
    <w:link w:val="PodnojeChar"/>
    <w:uiPriority w:val="99"/>
    <w:unhideWhenUsed/>
    <w:rsid w:val="00872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Kraml</dc:creator>
  <cp:lastModifiedBy>Nikolina Mrdalj</cp:lastModifiedBy>
  <cp:revision>2</cp:revision>
  <cp:lastPrinted>2023-03-22T10:18:00Z</cp:lastPrinted>
  <dcterms:created xsi:type="dcterms:W3CDTF">2023-04-14T08:02:00Z</dcterms:created>
  <dcterms:modified xsi:type="dcterms:W3CDTF">2023-04-14T08:02:00Z</dcterms:modified>
</cp:coreProperties>
</file>